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06C" w:rsidRDefault="003A506C" w:rsidP="003A506C">
      <w:pPr>
        <w:keepNext/>
        <w:keepLines/>
        <w:numPr>
          <w:ilvl w:val="1"/>
          <w:numId w:val="0"/>
        </w:numPr>
        <w:spacing w:before="200" w:after="0" w:line="276" w:lineRule="auto"/>
        <w:ind w:left="1425" w:hanging="432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Toc55837268"/>
    </w:p>
    <w:p w:rsidR="003A506C" w:rsidRPr="003A506C" w:rsidRDefault="003A506C" w:rsidP="003A506C">
      <w:pPr>
        <w:keepNext/>
        <w:keepLines/>
        <w:numPr>
          <w:ilvl w:val="1"/>
          <w:numId w:val="0"/>
        </w:numPr>
        <w:spacing w:before="200" w:after="0" w:line="276" w:lineRule="auto"/>
        <w:ind w:left="1425" w:hanging="432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1" w:name="_GoBack"/>
      <w:r w:rsidRPr="003A506C">
        <w:rPr>
          <w:rFonts w:ascii="Calibri" w:eastAsia="Times New Roman" w:hAnsi="Calibri" w:cs="Calibri"/>
          <w:b/>
          <w:sz w:val="24"/>
          <w:szCs w:val="24"/>
          <w:lang w:eastAsia="es-CL"/>
        </w:rPr>
        <w:t>Anexo N°13:  Requisitos para la prestación de Servicios de provisión de Activos Productivos</w:t>
      </w:r>
      <w:bookmarkEnd w:id="1"/>
      <w:r w:rsidRPr="003A506C">
        <w:rPr>
          <w:rFonts w:ascii="Calibri" w:eastAsia="Times New Roman" w:hAnsi="Calibri" w:cs="Calibri"/>
          <w:b/>
          <w:sz w:val="24"/>
          <w:szCs w:val="24"/>
          <w:lang w:eastAsia="es-CL"/>
        </w:rPr>
        <w:t>.</w:t>
      </w:r>
      <w:bookmarkEnd w:id="0"/>
    </w:p>
    <w:p w:rsidR="003A506C" w:rsidRPr="003A506C" w:rsidRDefault="003A506C" w:rsidP="003A506C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En este anexo se describen los requisitos que deberá cumplir el ejecutor de la actividad asociada a proveer el (los) activo(s) productivo(s) que se detallan en el proyecto presentado al Programa Leña Más Seca, convocatoria especial Araucanía, de la Agencia de Sostenibilidad Energética: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a)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Disponer del (los) activo(s) productivo(s) y de todos los accesorios necesarios para su funcionamiento. Será de cargo del ejecutor el pago de los impuestos y/o gastos asociados a la adquisición, así como desaduanar la totalidad de las máquinas si correspondiere.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b)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El ejecutor deberá hacer entrega, armado y capacitación sobre el uso de los activos productivos que proveerá al beneficiario.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c)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El (los) activo(s) productivo(s) deberá(n) ser trasladado(s) a costo del ejecutor y siendo almacenado, de ser necesario, en un lugar adecuado, para su entrega, de manera que se resguarde su seguridad e integridad, con el fin de realizar una adecuada y óptima entrega al beneficiario.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d)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Se realizará una entrega técnica de los activos productivos en el lugar que indique el beneficiario, la cual deberá considerar como mínimo lo siguiente:</w:t>
      </w:r>
    </w:p>
    <w:p w:rsidR="003A506C" w:rsidRPr="003A506C" w:rsidRDefault="003A506C" w:rsidP="003A506C">
      <w:pPr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I.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Puesta en marcha del activo productivo, considerando todos los elementos necesarios para su primer funcionamiento (Ajustes recomendados por fábrica, lubricación de partes móviles, combustible si el modelo lo requiere, etc.)</w:t>
      </w:r>
    </w:p>
    <w:p w:rsidR="003A506C" w:rsidRPr="003A506C" w:rsidRDefault="003A506C" w:rsidP="003A506C">
      <w:pPr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II.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Capacitación al beneficiario, considerando la explicación de las partes, piezas y accesorios que componen el activo productivo, el correcto modo de operación y mantenimientos diarios. Además, deberá hacer entrega del plan de mantenimiento que considere los hitos en el tiempo de operación.</w:t>
      </w:r>
    </w:p>
    <w:p w:rsidR="003A506C" w:rsidRPr="003A506C" w:rsidRDefault="003A506C" w:rsidP="003A506C">
      <w:pPr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III.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Aspectos de prevención de riesgos y seguridad indicando elementos de protección personal requeridos en la operación y mantención del activo productivo.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Respetar regulaciones nacionales sobre garantía legal respecto de los activos entregados al beneficiario.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f)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En caso que el proyecto presentado por el beneficiario, considere la utilización de activos productivos usados, el ejecutor deberá garantizar el activo por un periodo que será acordado con el beneficiario.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g)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El ejecutor deberá dar respuesta y solución a eventuales reclamos y consultas realizadas por los beneficiarios en el periodo de garantía. Los reclamos a los que deberá dar solución el proveedor son al menos los relacionados con:</w:t>
      </w:r>
    </w:p>
    <w:p w:rsidR="003A506C" w:rsidRPr="003A506C" w:rsidRDefault="003A506C" w:rsidP="003A506C">
      <w:pPr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I.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Falla de las partes que componen la procesadora.</w:t>
      </w:r>
    </w:p>
    <w:p w:rsidR="003A506C" w:rsidRPr="003A506C" w:rsidRDefault="003A506C" w:rsidP="003A506C">
      <w:pPr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II.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Mal funcionamiento de la procesadora.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h)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Disponibilidad de repuestos y servicio técnico.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El proveedor deberá asegurar la disponibilidad de repuestos ante la necesidad de reemplazo de partes piezas, ya sea por fallo de fábrica o mal uso.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lastRenderedPageBreak/>
        <w:t>j)</w:t>
      </w: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Para lo anterior, el proveedor deberá entregar a los beneficiarios, al momento de realizar la entrega técnica, una tarjeta o folleto con teléfono y dirección de contacto para facilitar el acceso al servicio de postventa, el cual debe operar de forma permanente durante la vigencia de la garantía.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El ejecutor de actividad seleccionado que firma, declara conocer, aceptar y se obliga a cumplir lo establecido en el presente anexo.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Firma:     _______________________________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Nombre: _______________________________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Empresa: _______________________________</w:t>
      </w: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A506C" w:rsidRPr="003A506C" w:rsidRDefault="003A506C" w:rsidP="003A506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A506C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Fecha: _________________________________</w:t>
      </w:r>
    </w:p>
    <w:p w:rsidR="000770BD" w:rsidRDefault="000770BD"/>
    <w:sectPr w:rsidR="000770BD" w:rsidSect="003A506C">
      <w:headerReference w:type="default" r:id="rId4"/>
      <w:footerReference w:type="default" r:id="rId5"/>
      <w:footerReference w:type="first" r:id="rId6"/>
      <w:pgSz w:w="12240" w:h="15840" w:code="1"/>
      <w:pgMar w:top="568" w:right="2034" w:bottom="1985" w:left="1418" w:header="567" w:footer="510" w:gutter="0"/>
      <w:paperSrc w:first="264" w:other="3"/>
      <w:pgNumType w:start="1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6335788"/>
      <w:docPartObj>
        <w:docPartGallery w:val="Page Numbers (Bottom of Page)"/>
        <w:docPartUnique/>
      </w:docPartObj>
    </w:sdtPr>
    <w:sdtEndPr/>
    <w:sdtContent>
      <w:p w:rsidR="00D61D92" w:rsidRDefault="003A506C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A506C">
          <w:rPr>
            <w:noProof/>
            <w:lang w:val="es-ES"/>
          </w:rPr>
          <w:t>2</w:t>
        </w:r>
        <w:r>
          <w:fldChar w:fldCharType="end"/>
        </w:r>
      </w:p>
    </w:sdtContent>
  </w:sdt>
  <w:p w:rsidR="00D61D92" w:rsidRDefault="003A506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3533746"/>
      <w:docPartObj>
        <w:docPartGallery w:val="Page Numbers (Bottom of Page)"/>
        <w:docPartUnique/>
      </w:docPartObj>
    </w:sdtPr>
    <w:sdtEndPr/>
    <w:sdtContent>
      <w:p w:rsidR="00D61D92" w:rsidRDefault="003A506C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A506C">
          <w:rPr>
            <w:noProof/>
            <w:lang w:val="es-ES"/>
          </w:rPr>
          <w:t>1</w:t>
        </w:r>
        <w:r>
          <w:fldChar w:fldCharType="end"/>
        </w:r>
      </w:p>
    </w:sdtContent>
  </w:sdt>
  <w:p w:rsidR="00D61D92" w:rsidRDefault="003A506C">
    <w:pPr>
      <w:pStyle w:val="Piedepgina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D92" w:rsidRDefault="003A506C">
    <w:pPr>
      <w:pStyle w:val="Encabezado"/>
    </w:pPr>
  </w:p>
  <w:p w:rsidR="00D61D92" w:rsidRDefault="003A506C">
    <w:pPr>
      <w:pStyle w:val="Encabezado"/>
    </w:pPr>
  </w:p>
  <w:p w:rsidR="00D61D92" w:rsidRDefault="003A506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6C"/>
    <w:rsid w:val="000770BD"/>
    <w:rsid w:val="003A506C"/>
    <w:rsid w:val="007D67C5"/>
    <w:rsid w:val="0080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FDB12"/>
  <w15:chartTrackingRefBased/>
  <w15:docId w15:val="{8BB34A07-506A-4DBA-9383-1CB9FFFB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3A506C"/>
    <w:pPr>
      <w:tabs>
        <w:tab w:val="center" w:pos="4419"/>
        <w:tab w:val="right" w:pos="8838"/>
      </w:tabs>
      <w:spacing w:after="0" w:line="240" w:lineRule="auto"/>
      <w:jc w:val="both"/>
    </w:pPr>
    <w:rPr>
      <w:rFonts w:ascii="Calibri" w:eastAsia="Times New Roman" w:hAnsi="Calibri" w:cs="Times New Roman"/>
      <w:color w:val="000000"/>
      <w:lang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506C"/>
    <w:rPr>
      <w:rFonts w:ascii="Calibri" w:eastAsia="Times New Roman" w:hAnsi="Calibri" w:cs="Times New Roman"/>
      <w:color w:val="000000"/>
      <w:lang w:eastAsia="es-CL"/>
    </w:rPr>
  </w:style>
  <w:style w:type="paragraph" w:styleId="Encabezado">
    <w:name w:val="header"/>
    <w:basedOn w:val="Normal"/>
    <w:link w:val="EncabezadoCar"/>
    <w:uiPriority w:val="99"/>
    <w:rsid w:val="003A506C"/>
    <w:pPr>
      <w:tabs>
        <w:tab w:val="center" w:pos="4419"/>
        <w:tab w:val="right" w:pos="8838"/>
      </w:tabs>
      <w:spacing w:after="0" w:line="240" w:lineRule="auto"/>
      <w:jc w:val="both"/>
    </w:pPr>
    <w:rPr>
      <w:rFonts w:ascii="Calibri" w:eastAsia="Times New Roman" w:hAnsi="Calibri" w:cs="Times New Roman"/>
      <w:color w:val="000000"/>
      <w:lang w:eastAsia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3A506C"/>
    <w:rPr>
      <w:rFonts w:ascii="Calibri" w:eastAsia="Times New Roman" w:hAnsi="Calibri" w:cs="Times New Roman"/>
      <w:color w:val="000000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2020-11-11T16:04:00Z</dcterms:created>
  <dcterms:modified xsi:type="dcterms:W3CDTF">2020-11-11T16:05:00Z</dcterms:modified>
</cp:coreProperties>
</file>